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49F0" w14:textId="3A08C8EB" w:rsidR="00CF02F1" w:rsidRDefault="00CF02F1" w:rsidP="00CF02F1">
      <w:pPr>
        <w:pStyle w:val="Header"/>
        <w:tabs>
          <w:tab w:val="clear" w:pos="4153"/>
          <w:tab w:val="clear" w:pos="8306"/>
          <w:tab w:val="right" w:pos="9026"/>
        </w:tabs>
        <w:rPr>
          <w:b/>
          <w:sz w:val="24"/>
        </w:rPr>
      </w:pPr>
      <w:bookmarkStart w:id="0" w:name="_Hlk512609091"/>
      <w:bookmarkStart w:id="1" w:name="_GoBack"/>
      <w:bookmarkEnd w:id="1"/>
      <w:r>
        <w:rPr>
          <w:b/>
          <w:sz w:val="24"/>
        </w:rPr>
        <w:t>3GPP TSG-RAN WG1 AH Meeting #1901</w:t>
      </w:r>
      <w:r>
        <w:rPr>
          <w:b/>
          <w:sz w:val="24"/>
        </w:rPr>
        <w:tab/>
        <w:t>R1-</w:t>
      </w:r>
      <w:r w:rsidRPr="004E6076">
        <w:rPr>
          <w:b/>
          <w:sz w:val="24"/>
        </w:rPr>
        <w:t>190</w:t>
      </w:r>
      <w:r w:rsidR="004E6076" w:rsidRPr="004E6076">
        <w:rPr>
          <w:b/>
          <w:sz w:val="24"/>
        </w:rPr>
        <w:t>0292</w:t>
      </w:r>
    </w:p>
    <w:p w14:paraId="2D04BE87" w14:textId="68B56F20" w:rsidR="00BC0557" w:rsidRPr="00BC0557" w:rsidRDefault="00CF02F1" w:rsidP="00CF02F1">
      <w:pPr>
        <w:pStyle w:val="Header"/>
        <w:rPr>
          <w:b/>
          <w:sz w:val="24"/>
        </w:rPr>
      </w:pPr>
      <w:r>
        <w:rPr>
          <w:b/>
          <w:sz w:val="24"/>
        </w:rPr>
        <w:t>Taipei, 12 – 25 January 2019</w:t>
      </w:r>
    </w:p>
    <w:bookmarkEnd w:id="0"/>
    <w:p w14:paraId="2A0E09CD" w14:textId="77777777" w:rsidR="00BC0557" w:rsidRDefault="00BC0557" w:rsidP="00BC0557"/>
    <w:p w14:paraId="779ABF42" w14:textId="769ABCCB" w:rsidR="00BC0557" w:rsidRPr="009D7E42" w:rsidRDefault="00BC0557" w:rsidP="00BC0557">
      <w:pPr>
        <w:tabs>
          <w:tab w:val="left" w:pos="1701"/>
        </w:tabs>
        <w:spacing w:after="60"/>
        <w:rPr>
          <w:bCs/>
          <w:color w:val="000000" w:themeColor="text1"/>
        </w:rPr>
      </w:pPr>
      <w:r w:rsidRPr="00BC0557">
        <w:rPr>
          <w:b/>
          <w:sz w:val="22"/>
        </w:rPr>
        <w:t>Agenda item:</w:t>
      </w:r>
      <w:r w:rsidRPr="009D7E42">
        <w:rPr>
          <w:color w:val="000000" w:themeColor="text1"/>
        </w:rPr>
        <w:tab/>
      </w:r>
      <w:r w:rsidRPr="00EE4760">
        <w:t>7.2.4.</w:t>
      </w:r>
      <w:r w:rsidR="009D7E42" w:rsidRPr="00EE4760">
        <w:t>5</w:t>
      </w:r>
    </w:p>
    <w:p w14:paraId="06A83340" w14:textId="1ACF7B36" w:rsidR="00BC0557" w:rsidRPr="009D7E42" w:rsidRDefault="00BC0557" w:rsidP="00BC0557">
      <w:pPr>
        <w:tabs>
          <w:tab w:val="left" w:pos="1701"/>
        </w:tabs>
        <w:spacing w:after="60"/>
        <w:rPr>
          <w:bCs/>
          <w:color w:val="000000" w:themeColor="text1"/>
        </w:rPr>
      </w:pPr>
      <w:r w:rsidRPr="009D7E42">
        <w:rPr>
          <w:b/>
          <w:color w:val="000000" w:themeColor="text1"/>
          <w:sz w:val="22"/>
        </w:rPr>
        <w:t>Title:</w:t>
      </w:r>
      <w:r w:rsidRPr="009D7E42">
        <w:rPr>
          <w:b/>
          <w:color w:val="000000" w:themeColor="text1"/>
        </w:rPr>
        <w:tab/>
      </w:r>
      <w:r w:rsidR="00500313" w:rsidRPr="00500313">
        <w:t>Discussion on coexistence in NR-V2X</w:t>
      </w:r>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3EB10A05" w14:textId="06787C4F" w:rsidR="00246872" w:rsidRPr="0075318B" w:rsidRDefault="00246872" w:rsidP="00BC0557">
      <w:pPr>
        <w:pStyle w:val="BodyText"/>
        <w:rPr>
          <w:color w:val="000000" w:themeColor="text1"/>
        </w:rPr>
      </w:pPr>
      <w:r>
        <w:rPr>
          <w:color w:val="000000" w:themeColor="text1"/>
        </w:rPr>
        <w:t>The coexistence of LTE-V2X and NR-V2X operations within the same UE (intra-UE) was discussed in RAN1#9</w:t>
      </w:r>
      <w:r w:rsidR="00E8572A">
        <w:rPr>
          <w:color w:val="000000" w:themeColor="text1"/>
        </w:rPr>
        <w:t>5</w:t>
      </w:r>
      <w:r>
        <w:rPr>
          <w:color w:val="000000" w:themeColor="text1"/>
        </w:rPr>
        <w:t xml:space="preserve">. In [1], it was agreed to study the following </w:t>
      </w:r>
      <w:r w:rsidR="0075318B">
        <w:rPr>
          <w:color w:val="000000" w:themeColor="text1"/>
        </w:rPr>
        <w:t xml:space="preserve">Tx/Rx </w:t>
      </w:r>
      <w:r w:rsidR="0075318B" w:rsidRPr="0075318B">
        <w:rPr>
          <w:color w:val="000000" w:themeColor="text1"/>
        </w:rPr>
        <w:t>coexistence</w:t>
      </w:r>
      <w:r w:rsidRPr="0075318B">
        <w:rPr>
          <w:color w:val="000000" w:themeColor="text1"/>
        </w:rPr>
        <w:t xml:space="preserve"> scenarios and potential solution </w:t>
      </w:r>
      <w:r w:rsidR="00FB2DB2" w:rsidRPr="0075318B">
        <w:rPr>
          <w:color w:val="000000" w:themeColor="text1"/>
        </w:rPr>
        <w:t>details</w:t>
      </w:r>
      <w:r w:rsidRPr="0075318B">
        <w:rPr>
          <w:color w:val="000000" w:themeColor="text1"/>
        </w:rPr>
        <w:t>.</w:t>
      </w:r>
    </w:p>
    <w:p w14:paraId="3D2E05C0" w14:textId="5112510A" w:rsidR="00C144FC" w:rsidRPr="00F43AB1" w:rsidRDefault="00C144FC" w:rsidP="00BC0557">
      <w:pPr>
        <w:pStyle w:val="BodyText"/>
        <w:rPr>
          <w:color w:val="auto"/>
        </w:rPr>
      </w:pPr>
    </w:p>
    <w:tbl>
      <w:tblPr>
        <w:tblStyle w:val="TableGrid"/>
        <w:tblW w:w="9356" w:type="dxa"/>
        <w:tblInd w:w="-147" w:type="dxa"/>
        <w:tblLook w:val="04A0" w:firstRow="1" w:lastRow="0" w:firstColumn="1" w:lastColumn="0" w:noHBand="0" w:noVBand="1"/>
      </w:tblPr>
      <w:tblGrid>
        <w:gridCol w:w="9356"/>
      </w:tblGrid>
      <w:tr w:rsidR="00F43AB1" w14:paraId="052436F6" w14:textId="77777777" w:rsidTr="003A5F5F">
        <w:tc>
          <w:tcPr>
            <w:tcW w:w="9356" w:type="dxa"/>
          </w:tcPr>
          <w:p w14:paraId="1C346FFA" w14:textId="77777777" w:rsidR="003A5F5F" w:rsidRPr="003A5F5F" w:rsidRDefault="003A5F5F" w:rsidP="003A5F5F">
            <w:pPr>
              <w:spacing w:before="120"/>
              <w:rPr>
                <w:rFonts w:ascii="Times New Roman" w:hAnsi="Times New Roman" w:cs="Times New Roman"/>
                <w:b/>
                <w:sz w:val="20"/>
                <w:szCs w:val="20"/>
              </w:rPr>
            </w:pPr>
            <w:r w:rsidRPr="003A5F5F">
              <w:rPr>
                <w:rFonts w:ascii="Times New Roman" w:hAnsi="Times New Roman" w:cs="Times New Roman"/>
                <w:b/>
                <w:sz w:val="20"/>
                <w:szCs w:val="20"/>
                <w:highlight w:val="green"/>
              </w:rPr>
              <w:t>Agreements</w:t>
            </w:r>
            <w:r w:rsidRPr="003A5F5F">
              <w:rPr>
                <w:rFonts w:ascii="Times New Roman" w:hAnsi="Times New Roman" w:cs="Times New Roman"/>
                <w:b/>
                <w:sz w:val="20"/>
                <w:szCs w:val="20"/>
              </w:rPr>
              <w:t>:</w:t>
            </w:r>
          </w:p>
          <w:p w14:paraId="22B877C1" w14:textId="77777777" w:rsidR="003A5F5F" w:rsidRPr="003A5F5F" w:rsidRDefault="003A5F5F" w:rsidP="003A5F5F">
            <w:pPr>
              <w:numPr>
                <w:ilvl w:val="0"/>
                <w:numId w:val="13"/>
              </w:numPr>
              <w:jc w:val="left"/>
              <w:rPr>
                <w:rFonts w:ascii="Times New Roman" w:hAnsi="Times New Roman" w:cs="Times New Roman"/>
                <w:sz w:val="20"/>
                <w:szCs w:val="20"/>
              </w:rPr>
            </w:pPr>
            <w:r w:rsidRPr="003A5F5F">
              <w:rPr>
                <w:rFonts w:ascii="Times New Roman" w:hAnsi="Times New Roman" w:cs="Times New Roman"/>
                <w:sz w:val="20"/>
                <w:szCs w:val="20"/>
              </w:rPr>
              <w:t xml:space="preserve">Consider solutions for sidelink coexistence for the following: </w:t>
            </w:r>
          </w:p>
          <w:p w14:paraId="19D6E7DB" w14:textId="77777777" w:rsidR="003A5F5F" w:rsidRPr="003A5F5F" w:rsidRDefault="003A5F5F" w:rsidP="003A5F5F">
            <w:pPr>
              <w:numPr>
                <w:ilvl w:val="1"/>
                <w:numId w:val="13"/>
              </w:numPr>
              <w:jc w:val="left"/>
              <w:rPr>
                <w:rFonts w:ascii="Times New Roman" w:hAnsi="Times New Roman" w:cs="Times New Roman"/>
                <w:sz w:val="20"/>
                <w:szCs w:val="20"/>
              </w:rPr>
            </w:pPr>
            <w:r w:rsidRPr="003A5F5F">
              <w:rPr>
                <w:rFonts w:ascii="Times New Roman" w:hAnsi="Times New Roman" w:cs="Times New Roman"/>
                <w:sz w:val="20"/>
                <w:szCs w:val="20"/>
              </w:rPr>
              <w:t>Potential LTE V2X Tx and NR V2X Tx</w:t>
            </w:r>
          </w:p>
          <w:p w14:paraId="64896DA2" w14:textId="46B12583" w:rsidR="003A5F5F" w:rsidRPr="003A5F5F" w:rsidRDefault="003A5F5F" w:rsidP="003A5F5F">
            <w:pPr>
              <w:numPr>
                <w:ilvl w:val="1"/>
                <w:numId w:val="13"/>
              </w:numPr>
              <w:jc w:val="left"/>
              <w:rPr>
                <w:rFonts w:ascii="Times New Roman" w:hAnsi="Times New Roman" w:cs="Times New Roman"/>
                <w:sz w:val="20"/>
                <w:szCs w:val="20"/>
              </w:rPr>
            </w:pPr>
            <w:r w:rsidRPr="003A5F5F">
              <w:rPr>
                <w:rFonts w:ascii="Times New Roman" w:hAnsi="Times New Roman" w:cs="Times New Roman"/>
                <w:sz w:val="20"/>
                <w:szCs w:val="20"/>
              </w:rPr>
              <w:t>Potential LTE V2X Tx and NR V2X Rx</w:t>
            </w:r>
          </w:p>
          <w:p w14:paraId="073FDF15" w14:textId="118E2463" w:rsidR="003A5F5F" w:rsidRPr="003A5F5F" w:rsidRDefault="003A5F5F" w:rsidP="003A5F5F">
            <w:pPr>
              <w:numPr>
                <w:ilvl w:val="1"/>
                <w:numId w:val="13"/>
              </w:numPr>
              <w:jc w:val="left"/>
              <w:rPr>
                <w:rFonts w:ascii="Times New Roman" w:hAnsi="Times New Roman" w:cs="Times New Roman"/>
                <w:sz w:val="20"/>
                <w:szCs w:val="20"/>
              </w:rPr>
            </w:pPr>
            <w:r w:rsidRPr="003A5F5F">
              <w:rPr>
                <w:rFonts w:ascii="Times New Roman" w:hAnsi="Times New Roman" w:cs="Times New Roman"/>
                <w:sz w:val="20"/>
                <w:szCs w:val="20"/>
              </w:rPr>
              <w:t>Potential LTE V2X Rx and NR V2X Tx</w:t>
            </w:r>
          </w:p>
          <w:p w14:paraId="385DEC71" w14:textId="64CC4188" w:rsidR="003A5F5F" w:rsidRPr="003A5F5F" w:rsidRDefault="003A5F5F" w:rsidP="003A5F5F">
            <w:pPr>
              <w:numPr>
                <w:ilvl w:val="0"/>
                <w:numId w:val="13"/>
              </w:numPr>
              <w:jc w:val="left"/>
              <w:rPr>
                <w:rFonts w:ascii="Times New Roman" w:hAnsi="Times New Roman" w:cs="Times New Roman"/>
                <w:sz w:val="20"/>
                <w:szCs w:val="20"/>
                <w:lang w:eastAsia="x-none"/>
              </w:rPr>
            </w:pPr>
            <w:r w:rsidRPr="003A5F5F">
              <w:rPr>
                <w:rFonts w:ascii="Times New Roman" w:hAnsi="Times New Roman" w:cs="Times New Roman"/>
                <w:sz w:val="20"/>
                <w:szCs w:val="20"/>
              </w:rPr>
              <w:t>FFS the case of potential LTE V2X Rx and NR V2X Rx, e.g., whether or not it can be handled implementation</w:t>
            </w:r>
          </w:p>
          <w:p w14:paraId="06446D4B" w14:textId="77777777" w:rsidR="003A5F5F" w:rsidRPr="003A5F5F" w:rsidRDefault="003A5F5F" w:rsidP="003A5F5F">
            <w:pPr>
              <w:rPr>
                <w:rFonts w:ascii="Times New Roman" w:hAnsi="Times New Roman" w:cs="Times New Roman"/>
                <w:sz w:val="20"/>
                <w:szCs w:val="20"/>
                <w:lang w:eastAsia="x-none"/>
              </w:rPr>
            </w:pPr>
          </w:p>
          <w:p w14:paraId="4134EC55" w14:textId="77777777" w:rsidR="003A5F5F" w:rsidRPr="003A5F5F" w:rsidRDefault="003A5F5F" w:rsidP="003A5F5F">
            <w:pPr>
              <w:rPr>
                <w:rFonts w:ascii="Times New Roman" w:hAnsi="Times New Roman" w:cs="Times New Roman"/>
                <w:b/>
                <w:sz w:val="20"/>
                <w:szCs w:val="20"/>
                <w:lang w:eastAsia="x-none"/>
              </w:rPr>
            </w:pPr>
            <w:r w:rsidRPr="003A5F5F">
              <w:rPr>
                <w:rFonts w:ascii="Times New Roman" w:hAnsi="Times New Roman" w:cs="Times New Roman"/>
                <w:b/>
                <w:sz w:val="20"/>
                <w:szCs w:val="20"/>
                <w:highlight w:val="green"/>
                <w:lang w:eastAsia="x-none"/>
              </w:rPr>
              <w:t>Agreements</w:t>
            </w:r>
            <w:r w:rsidRPr="003A5F5F">
              <w:rPr>
                <w:rFonts w:ascii="Times New Roman" w:hAnsi="Times New Roman" w:cs="Times New Roman"/>
                <w:b/>
                <w:sz w:val="20"/>
                <w:szCs w:val="20"/>
                <w:lang w:eastAsia="x-none"/>
              </w:rPr>
              <w:t>:</w:t>
            </w:r>
          </w:p>
          <w:p w14:paraId="265B442F" w14:textId="77777777" w:rsidR="003A5F5F" w:rsidRPr="003A5F5F" w:rsidRDefault="003A5F5F" w:rsidP="003A5F5F">
            <w:pPr>
              <w:rPr>
                <w:rFonts w:ascii="Times New Roman" w:hAnsi="Times New Roman" w:cs="Times New Roman"/>
                <w:sz w:val="20"/>
                <w:szCs w:val="20"/>
              </w:rPr>
            </w:pPr>
            <w:r w:rsidRPr="003A5F5F">
              <w:rPr>
                <w:rFonts w:ascii="Times New Roman" w:hAnsi="Times New Roman" w:cs="Times New Roman"/>
                <w:sz w:val="20"/>
                <w:szCs w:val="20"/>
              </w:rPr>
              <w:t>RAN1 will identify both TDM and FDM solutions for coexistence. The specific support for each solution is FFS.</w:t>
            </w:r>
          </w:p>
          <w:p w14:paraId="1653879C" w14:textId="77777777" w:rsidR="003A5F5F" w:rsidRPr="003A5F5F" w:rsidRDefault="003A5F5F" w:rsidP="003A5F5F">
            <w:pPr>
              <w:rPr>
                <w:rFonts w:ascii="Times New Roman" w:hAnsi="Times New Roman" w:cs="Times New Roman"/>
                <w:sz w:val="20"/>
                <w:szCs w:val="20"/>
              </w:rPr>
            </w:pPr>
            <w:r w:rsidRPr="003A5F5F">
              <w:rPr>
                <w:rFonts w:ascii="Times New Roman" w:hAnsi="Times New Roman" w:cs="Times New Roman"/>
                <w:sz w:val="20"/>
                <w:szCs w:val="20"/>
              </w:rPr>
              <w:t xml:space="preserve">For FDM solutions: </w:t>
            </w:r>
          </w:p>
          <w:p w14:paraId="1D86188E" w14:textId="77777777" w:rsidR="003A5F5F" w:rsidRPr="003A5F5F" w:rsidRDefault="003A5F5F" w:rsidP="003A5F5F">
            <w:pPr>
              <w:pStyle w:val="ListParagraph"/>
              <w:numPr>
                <w:ilvl w:val="0"/>
                <w:numId w:val="14"/>
              </w:numPr>
              <w:spacing w:after="180"/>
              <w:ind w:leftChars="0"/>
              <w:contextualSpacing/>
              <w:rPr>
                <w:rFonts w:ascii="Times New Roman" w:hAnsi="Times New Roman"/>
                <w:szCs w:val="20"/>
              </w:rPr>
            </w:pPr>
            <w:r w:rsidRPr="003A5F5F">
              <w:rPr>
                <w:rFonts w:ascii="Times New Roman" w:hAnsi="Times New Roman"/>
                <w:szCs w:val="20"/>
              </w:rPr>
              <w:t xml:space="preserve">For both dynamic and semi-static power allocation solutions, RAN1 assumes synchronization between NR and LTE V2X </w:t>
            </w:r>
            <w:proofErr w:type="spellStart"/>
            <w:r w:rsidRPr="003A5F5F">
              <w:rPr>
                <w:rFonts w:ascii="Times New Roman" w:hAnsi="Times New Roman"/>
                <w:szCs w:val="20"/>
              </w:rPr>
              <w:t>sidelinks</w:t>
            </w:r>
            <w:proofErr w:type="spellEnd"/>
            <w:r w:rsidRPr="003A5F5F">
              <w:rPr>
                <w:rFonts w:ascii="Times New Roman" w:hAnsi="Times New Roman"/>
                <w:szCs w:val="20"/>
              </w:rPr>
              <w:t xml:space="preserve">, for a NR V2X UE when NR and LTE V2X </w:t>
            </w:r>
            <w:proofErr w:type="spellStart"/>
            <w:r w:rsidRPr="003A5F5F">
              <w:rPr>
                <w:rFonts w:ascii="Times New Roman" w:hAnsi="Times New Roman"/>
                <w:szCs w:val="20"/>
              </w:rPr>
              <w:t>sidelinks</w:t>
            </w:r>
            <w:proofErr w:type="spellEnd"/>
            <w:r w:rsidRPr="003A5F5F">
              <w:rPr>
                <w:rFonts w:ascii="Times New Roman" w:hAnsi="Times New Roman"/>
                <w:szCs w:val="20"/>
              </w:rPr>
              <w:t xml:space="preserve"> are intra-band</w:t>
            </w:r>
          </w:p>
          <w:p w14:paraId="3C68D1DC" w14:textId="6AFB08F6" w:rsidR="003A5F5F" w:rsidRPr="003A5F5F" w:rsidRDefault="003A5F5F" w:rsidP="003A5F5F">
            <w:pPr>
              <w:pStyle w:val="ListParagraph"/>
              <w:numPr>
                <w:ilvl w:val="0"/>
                <w:numId w:val="14"/>
              </w:numPr>
              <w:spacing w:after="180"/>
              <w:ind w:leftChars="0"/>
              <w:contextualSpacing/>
              <w:rPr>
                <w:rFonts w:ascii="Times New Roman" w:hAnsi="Times New Roman"/>
                <w:szCs w:val="20"/>
              </w:rPr>
            </w:pPr>
            <w:r w:rsidRPr="003A5F5F">
              <w:rPr>
                <w:rFonts w:ascii="Times New Roman" w:hAnsi="Times New Roman"/>
                <w:szCs w:val="20"/>
              </w:rPr>
              <w:t>The case of inter-band is FFS</w:t>
            </w:r>
          </w:p>
          <w:p w14:paraId="3B59F54C" w14:textId="046239A0" w:rsidR="00F43AB1" w:rsidRPr="003A5F5F" w:rsidRDefault="003A5F5F" w:rsidP="003A5F5F">
            <w:pPr>
              <w:spacing w:after="120"/>
              <w:rPr>
                <w:szCs w:val="20"/>
              </w:rPr>
            </w:pPr>
            <w:r w:rsidRPr="003A5F5F">
              <w:rPr>
                <w:rFonts w:ascii="Times New Roman" w:hAnsi="Times New Roman" w:cs="Times New Roman"/>
                <w:sz w:val="20"/>
                <w:szCs w:val="20"/>
              </w:rPr>
              <w:t>Note: If the identified solutions can be applied to systems that are not synchronized, then RAN1 may revisit this assumption.</w:t>
            </w:r>
          </w:p>
        </w:tc>
      </w:tr>
    </w:tbl>
    <w:p w14:paraId="46484BC3" w14:textId="77777777" w:rsidR="00C144FC" w:rsidRPr="00F43AB1" w:rsidRDefault="00C144FC" w:rsidP="00BC0557">
      <w:pPr>
        <w:pStyle w:val="BodyText"/>
        <w:rPr>
          <w:color w:val="auto"/>
        </w:rPr>
      </w:pPr>
    </w:p>
    <w:p w14:paraId="06B2BA62" w14:textId="0A5DAC09" w:rsidR="00F66000" w:rsidRPr="004E0EB3" w:rsidRDefault="00C144FC" w:rsidP="00BC0557">
      <w:pPr>
        <w:pStyle w:val="BodyText"/>
        <w:rPr>
          <w:color w:val="000000" w:themeColor="text1"/>
          <w:lang w:val="en-AU"/>
        </w:rPr>
      </w:pPr>
      <w:r w:rsidRPr="00F43AB1">
        <w:rPr>
          <w:color w:val="auto"/>
        </w:rPr>
        <w:t xml:space="preserve">In this contribution, we </w:t>
      </w:r>
      <w:r w:rsidR="00BA2891" w:rsidRPr="004E0EB3">
        <w:rPr>
          <w:color w:val="000000" w:themeColor="text1"/>
        </w:rPr>
        <w:t xml:space="preserve">first </w:t>
      </w:r>
      <w:r w:rsidR="00CD1C22" w:rsidRPr="004E0EB3">
        <w:rPr>
          <w:color w:val="000000" w:themeColor="text1"/>
        </w:rPr>
        <w:t xml:space="preserve">discuss </w:t>
      </w:r>
      <w:r w:rsidR="00BA2891" w:rsidRPr="004E0EB3">
        <w:rPr>
          <w:color w:val="000000" w:themeColor="text1"/>
        </w:rPr>
        <w:t xml:space="preserve">about </w:t>
      </w:r>
      <w:r w:rsidR="004E0EB3" w:rsidRPr="004E0EB3">
        <w:rPr>
          <w:color w:val="000000" w:themeColor="text1"/>
        </w:rPr>
        <w:t>potential coexistence issues of UE transmitting on one RAT and receiving simultaneously on the other, and when UE is receiving on both RATs together. Then we discuss about the most sever coexistence issue when UE is transmitting on both RATs together and consider some specific support for FDM and TDM type of solutions.</w:t>
      </w:r>
    </w:p>
    <w:p w14:paraId="0282B91C" w14:textId="77777777" w:rsidR="00F66000" w:rsidRDefault="00F66000" w:rsidP="00BC0557">
      <w:pPr>
        <w:pStyle w:val="BodyText"/>
      </w:pPr>
    </w:p>
    <w:p w14:paraId="2DDFB004" w14:textId="77777777" w:rsidR="00BC0557" w:rsidRPr="00BC0557" w:rsidRDefault="00BC0557" w:rsidP="00BC0557">
      <w:pPr>
        <w:spacing w:after="120"/>
        <w:rPr>
          <w:b/>
          <w:sz w:val="22"/>
        </w:rPr>
      </w:pPr>
      <w:r w:rsidRPr="00BC0557">
        <w:rPr>
          <w:b/>
          <w:sz w:val="22"/>
        </w:rPr>
        <w:t>2. Discussion</w:t>
      </w:r>
    </w:p>
    <w:p w14:paraId="699C6F70" w14:textId="7906FB6F" w:rsidR="001728C1" w:rsidRPr="00171A43" w:rsidRDefault="00C90A3D" w:rsidP="00BC0557">
      <w:pPr>
        <w:rPr>
          <w:color w:val="000000" w:themeColor="text1"/>
        </w:rPr>
      </w:pPr>
      <w:r w:rsidRPr="00171A43">
        <w:rPr>
          <w:color w:val="000000" w:themeColor="text1"/>
        </w:rPr>
        <w:t>For the case of UE transmitting on one RAT on one carrier (e.g. NR-V2X) and receiving simultaneously on the other RAT on another carrier (e.g. LTE-V2X), the coexistence issue is related to the half-duplex problem when the two carriers are close to each other on the frequency spectrum and some of energy used for RF transmission on one carrier</w:t>
      </w:r>
      <w:r w:rsidR="007018F8" w:rsidRPr="00171A43">
        <w:rPr>
          <w:color w:val="000000" w:themeColor="text1"/>
        </w:rPr>
        <w:t xml:space="preserve"> by the UE</w:t>
      </w:r>
      <w:r w:rsidRPr="00171A43">
        <w:rPr>
          <w:color w:val="000000" w:themeColor="text1"/>
        </w:rPr>
        <w:t xml:space="preserve"> is leaked </w:t>
      </w:r>
      <w:r w:rsidR="007018F8" w:rsidRPr="00171A43">
        <w:rPr>
          <w:color w:val="000000" w:themeColor="text1"/>
        </w:rPr>
        <w:t>in</w:t>
      </w:r>
      <w:r w:rsidRPr="00171A43">
        <w:rPr>
          <w:color w:val="000000" w:themeColor="text1"/>
        </w:rPr>
        <w:t>to the other carrier</w:t>
      </w:r>
      <w:r w:rsidR="007018F8" w:rsidRPr="00171A43">
        <w:rPr>
          <w:color w:val="000000" w:themeColor="text1"/>
        </w:rPr>
        <w:t xml:space="preserve"> where the UE is trying to receive RF signal at the same time</w:t>
      </w:r>
      <w:r w:rsidRPr="00171A43">
        <w:rPr>
          <w:color w:val="000000" w:themeColor="text1"/>
        </w:rPr>
        <w:t xml:space="preserve">. In general, this type of </w:t>
      </w:r>
      <w:r w:rsidR="007018F8" w:rsidRPr="00171A43">
        <w:rPr>
          <w:color w:val="000000" w:themeColor="text1"/>
        </w:rPr>
        <w:t xml:space="preserve">RF </w:t>
      </w:r>
      <w:r w:rsidRPr="00171A43">
        <w:rPr>
          <w:color w:val="000000" w:themeColor="text1"/>
        </w:rPr>
        <w:t xml:space="preserve">coexistence/leakage issue </w:t>
      </w:r>
      <w:r w:rsidR="007018F8" w:rsidRPr="00171A43">
        <w:rPr>
          <w:color w:val="000000" w:themeColor="text1"/>
        </w:rPr>
        <w:t xml:space="preserve">is more closely related to the UE RF circuitry design and how well the UE implementation is able to shield off such RF energy leakage </w:t>
      </w:r>
      <w:r w:rsidR="007D0CDF" w:rsidRPr="00171A43">
        <w:rPr>
          <w:color w:val="000000" w:themeColor="text1"/>
        </w:rPr>
        <w:t>from one carrier to its adjacent carriers</w:t>
      </w:r>
      <w:r w:rsidR="007018F8" w:rsidRPr="00171A43">
        <w:rPr>
          <w:color w:val="000000" w:themeColor="text1"/>
        </w:rPr>
        <w:t xml:space="preserve">. </w:t>
      </w:r>
      <w:r w:rsidR="007D0CDF" w:rsidRPr="00171A43">
        <w:rPr>
          <w:color w:val="000000" w:themeColor="text1"/>
        </w:rPr>
        <w:t>It is understood, at the same time, not all RF leakage can be shield off / eliminated completely. And typically, some guard band is inserted to help further minimize the leakage. To this end, we understand RAN4 is currently investigating this issue and RAN1 should wait for their outcome of finding a minimum frequency separation before RAN1 should decide whether further solution(s) is needed.</w:t>
      </w:r>
      <w:r w:rsidR="00171A43" w:rsidRPr="00171A43">
        <w:rPr>
          <w:color w:val="000000" w:themeColor="text1"/>
        </w:rPr>
        <w:t xml:space="preserve"> In the end, most likely this coexistence / half-duplex issue can be resolved via combination of UE implementation and frequency spectrum/carrier planning.</w:t>
      </w:r>
    </w:p>
    <w:p w14:paraId="3E29F368" w14:textId="6A6BAB61" w:rsidR="007D0CDF" w:rsidRPr="00171A43" w:rsidRDefault="007D0CDF" w:rsidP="00BC0557">
      <w:pPr>
        <w:rPr>
          <w:color w:val="000000" w:themeColor="text1"/>
        </w:rPr>
      </w:pPr>
    </w:p>
    <w:p w14:paraId="3F9A96D5" w14:textId="08417380" w:rsidR="007D0CDF" w:rsidRPr="00171A43" w:rsidRDefault="007D0CDF" w:rsidP="00BC0557">
      <w:pPr>
        <w:rPr>
          <w:b/>
          <w:i/>
          <w:color w:val="000000" w:themeColor="text1"/>
        </w:rPr>
      </w:pPr>
      <w:r w:rsidRPr="00171A43">
        <w:rPr>
          <w:b/>
          <w:i/>
          <w:color w:val="000000" w:themeColor="text1"/>
        </w:rPr>
        <w:t xml:space="preserve">Observation 1: For the coexistence/half-duplex issue of UE transmitting on one carrier and not being able to receive on another carrier, RAN1 should wait for RAN4’s investigation </w:t>
      </w:r>
      <w:r w:rsidRPr="00171A43">
        <w:rPr>
          <w:b/>
          <w:i/>
          <w:color w:val="000000" w:themeColor="text1"/>
        </w:rPr>
        <w:lastRenderedPageBreak/>
        <w:t xml:space="preserve">outcome </w:t>
      </w:r>
      <w:r w:rsidR="00171A43" w:rsidRPr="00171A43">
        <w:rPr>
          <w:b/>
          <w:i/>
          <w:color w:val="000000" w:themeColor="text1"/>
        </w:rPr>
        <w:t>of finding a minimum frequency separation before RAN1 should decide whether further solution(s) is needed.</w:t>
      </w:r>
    </w:p>
    <w:p w14:paraId="22DF98E9" w14:textId="53697DB8" w:rsidR="001728C1" w:rsidRDefault="001728C1" w:rsidP="00BC0557">
      <w:pPr>
        <w:rPr>
          <w:b/>
          <w:i/>
          <w:color w:val="000000" w:themeColor="text1"/>
        </w:rPr>
      </w:pPr>
    </w:p>
    <w:p w14:paraId="1108D77C" w14:textId="376A3968" w:rsidR="00706F36" w:rsidRDefault="00706F36" w:rsidP="00BC0557">
      <w:r w:rsidRPr="00706F36">
        <w:t>For the case of potential LTE</w:t>
      </w:r>
      <w:r>
        <w:t>-</w:t>
      </w:r>
      <w:r w:rsidRPr="00706F36">
        <w:t>V2X Rx and NR</w:t>
      </w:r>
      <w:r>
        <w:t>-</w:t>
      </w:r>
      <w:r w:rsidRPr="00706F36">
        <w:t xml:space="preserve">V2X Rx, e.g., whether or not it can be handled </w:t>
      </w:r>
      <w:r>
        <w:t xml:space="preserve">by UE </w:t>
      </w:r>
      <w:r w:rsidRPr="00706F36">
        <w:t>implementation</w:t>
      </w:r>
      <w:r>
        <w:t xml:space="preserve">, </w:t>
      </w:r>
      <w:r w:rsidRPr="00706F36">
        <w:t>this aspect in our view is more closely related to UE capability discussion on minimum number of Rx antennas and processing chains that we can expect in vehicular UEs and that whether we can assume a certain number of dedicated Rx chains for LTE / NR reception</w:t>
      </w:r>
      <w:r>
        <w:t>.</w:t>
      </w:r>
    </w:p>
    <w:p w14:paraId="01291ACF" w14:textId="20F62A61" w:rsidR="00706F36" w:rsidRDefault="00706F36" w:rsidP="00BC0557">
      <w:pPr>
        <w:rPr>
          <w:b/>
          <w:i/>
          <w:color w:val="000000" w:themeColor="text1"/>
        </w:rPr>
      </w:pPr>
    </w:p>
    <w:p w14:paraId="1EC4810A" w14:textId="60B15D6E" w:rsidR="00706F36" w:rsidRPr="00706F36" w:rsidRDefault="00706F36" w:rsidP="00BC0557">
      <w:pPr>
        <w:rPr>
          <w:b/>
          <w:i/>
          <w:color w:val="000000" w:themeColor="text1"/>
        </w:rPr>
      </w:pPr>
      <w:r>
        <w:rPr>
          <w:b/>
          <w:i/>
          <w:color w:val="000000" w:themeColor="text1"/>
        </w:rPr>
        <w:t xml:space="preserve">Observation 2: For the Rx/Rx coexistence, RAN1 could consider whether we can always assume </w:t>
      </w:r>
      <w:r w:rsidRPr="00706F36">
        <w:rPr>
          <w:b/>
          <w:i/>
          <w:color w:val="000000" w:themeColor="text1"/>
        </w:rPr>
        <w:t>a certain number of dedicated Rx chains for LTE / NR reception</w:t>
      </w:r>
      <w:r w:rsidR="00657443">
        <w:rPr>
          <w:b/>
          <w:i/>
          <w:color w:val="000000" w:themeColor="text1"/>
        </w:rPr>
        <w:t>.</w:t>
      </w:r>
    </w:p>
    <w:p w14:paraId="23BA46D9" w14:textId="77777777" w:rsidR="00216862" w:rsidRDefault="00216862" w:rsidP="00BC0557">
      <w:pPr>
        <w:rPr>
          <w:color w:val="000000" w:themeColor="text1"/>
        </w:rPr>
      </w:pPr>
    </w:p>
    <w:p w14:paraId="143DFB0F" w14:textId="24787F62" w:rsidR="00216862" w:rsidRPr="00AB4FF8" w:rsidRDefault="00216862" w:rsidP="00216862">
      <w:pPr>
        <w:spacing w:after="120"/>
        <w:rPr>
          <w:b/>
          <w:sz w:val="22"/>
        </w:rPr>
      </w:pPr>
      <w:r w:rsidRPr="00AB4FF8">
        <w:rPr>
          <w:b/>
          <w:sz w:val="22"/>
        </w:rPr>
        <w:t xml:space="preserve">2.1 </w:t>
      </w:r>
      <w:r>
        <w:rPr>
          <w:b/>
          <w:sz w:val="22"/>
        </w:rPr>
        <w:t xml:space="preserve">TDM </w:t>
      </w:r>
      <w:r w:rsidR="003E387D">
        <w:rPr>
          <w:b/>
          <w:sz w:val="22"/>
        </w:rPr>
        <w:t>based solutions</w:t>
      </w:r>
    </w:p>
    <w:p w14:paraId="28D36399" w14:textId="7FFA2028" w:rsidR="00B11B40" w:rsidRPr="00DD3EC9" w:rsidRDefault="00B11B40" w:rsidP="00B11B40">
      <w:pPr>
        <w:spacing w:before="240" w:after="120"/>
        <w:rPr>
          <w:color w:val="000000" w:themeColor="text1"/>
        </w:rPr>
      </w:pPr>
      <w:r w:rsidRPr="00DD3EC9">
        <w:rPr>
          <w:color w:val="000000" w:themeColor="text1"/>
        </w:rPr>
        <w:t xml:space="preserve">For any of TDM </w:t>
      </w:r>
      <w:r w:rsidR="00DD3EC9" w:rsidRPr="00DD3EC9">
        <w:rPr>
          <w:color w:val="000000" w:themeColor="text1"/>
        </w:rPr>
        <w:t>solutions</w:t>
      </w:r>
      <w:r w:rsidRPr="00DD3EC9">
        <w:rPr>
          <w:color w:val="000000" w:themeColor="text1"/>
        </w:rPr>
        <w:t xml:space="preserve">, </w:t>
      </w:r>
      <w:r w:rsidR="00855FFD" w:rsidRPr="00DD3EC9">
        <w:rPr>
          <w:color w:val="000000" w:themeColor="text1"/>
        </w:rPr>
        <w:t>with or without coordination between LTE and NR-V2X operations, the alignment between LTE subframes and NR slots (slot-level alignment) is at least needed to avoid resource wastage from partial-slot overlap. However, if the TDM mechanism is just to prevent overlapping or simultaneous LTE and NR V2X sidelink transmissions, DFN-level alignment may not be entirely necessary</w:t>
      </w:r>
      <w:r w:rsidR="00577A9B" w:rsidRPr="00DD3EC9">
        <w:rPr>
          <w:color w:val="000000" w:themeColor="text1"/>
        </w:rPr>
        <w:t xml:space="preserve"> as it is more relevant for the purpose of carrier synchronization</w:t>
      </w:r>
      <w:r w:rsidR="00855FFD" w:rsidRPr="00DD3EC9">
        <w:rPr>
          <w:color w:val="000000" w:themeColor="text1"/>
        </w:rPr>
        <w:t>.</w:t>
      </w:r>
    </w:p>
    <w:p w14:paraId="033F3717" w14:textId="2FEA376B" w:rsidR="00DD3EC9" w:rsidRPr="00DD3EC9" w:rsidRDefault="00DD3EC9" w:rsidP="00B11B40">
      <w:pPr>
        <w:spacing w:before="240" w:after="120"/>
        <w:rPr>
          <w:b/>
          <w:i/>
          <w:color w:val="000000" w:themeColor="text1"/>
        </w:rPr>
      </w:pPr>
      <w:r w:rsidRPr="00DD3EC9">
        <w:rPr>
          <w:b/>
          <w:i/>
          <w:color w:val="000000" w:themeColor="text1"/>
        </w:rPr>
        <w:t xml:space="preserve">Observation 3: Slot-level alignment </w:t>
      </w:r>
      <w:r w:rsidR="005A28DC">
        <w:rPr>
          <w:b/>
          <w:i/>
          <w:color w:val="000000" w:themeColor="text1"/>
        </w:rPr>
        <w:t xml:space="preserve">at the NR-slot and LTE-subframe boundaries </w:t>
      </w:r>
      <w:r w:rsidRPr="00DD3EC9">
        <w:rPr>
          <w:b/>
          <w:i/>
          <w:color w:val="000000" w:themeColor="text1"/>
        </w:rPr>
        <w:t>should be at least needed for TDM transmission of LTE</w:t>
      </w:r>
      <w:r w:rsidR="005A28DC">
        <w:rPr>
          <w:b/>
          <w:i/>
          <w:color w:val="000000" w:themeColor="text1"/>
        </w:rPr>
        <w:t>-V2X</w:t>
      </w:r>
      <w:r w:rsidRPr="00DD3EC9">
        <w:rPr>
          <w:b/>
          <w:i/>
          <w:color w:val="000000" w:themeColor="text1"/>
        </w:rPr>
        <w:t xml:space="preserve"> and NR</w:t>
      </w:r>
      <w:r w:rsidR="005A28DC">
        <w:rPr>
          <w:b/>
          <w:i/>
          <w:color w:val="000000" w:themeColor="text1"/>
        </w:rPr>
        <w:t>-V2X</w:t>
      </w:r>
      <w:r w:rsidRPr="00DD3EC9">
        <w:rPr>
          <w:b/>
          <w:i/>
          <w:color w:val="000000" w:themeColor="text1"/>
        </w:rPr>
        <w:t>.</w:t>
      </w:r>
    </w:p>
    <w:p w14:paraId="28D51A6F" w14:textId="24120FB6" w:rsidR="00216862" w:rsidRPr="005B52F3" w:rsidRDefault="00216862" w:rsidP="00216862">
      <w:pPr>
        <w:spacing w:before="240" w:after="120"/>
        <w:rPr>
          <w:b/>
          <w:i/>
          <w:u w:val="single"/>
        </w:rPr>
      </w:pPr>
      <w:r>
        <w:rPr>
          <w:b/>
          <w:i/>
          <w:u w:val="single"/>
        </w:rPr>
        <w:t>Resource pool partitioning</w:t>
      </w:r>
      <w:r w:rsidR="00577A9B">
        <w:rPr>
          <w:b/>
          <w:i/>
          <w:u w:val="single"/>
        </w:rPr>
        <w:t xml:space="preserve"> / network scheduling</w:t>
      </w:r>
      <w:r w:rsidR="00ED5635">
        <w:rPr>
          <w:b/>
          <w:i/>
          <w:u w:val="single"/>
        </w:rPr>
        <w:t xml:space="preserve"> </w:t>
      </w:r>
      <w:r>
        <w:rPr>
          <w:b/>
          <w:i/>
          <w:u w:val="single"/>
        </w:rPr>
        <w:t>(no inter-RAT coordination)</w:t>
      </w:r>
    </w:p>
    <w:p w14:paraId="4E54D939" w14:textId="38AAC183" w:rsidR="00577A9B" w:rsidRDefault="00ED5635" w:rsidP="00216862">
      <w:r>
        <w:t xml:space="preserve">The simplest TDM mechanism is resource pool partitioning between LTE-V2X and NR-V2X </w:t>
      </w:r>
      <w:r w:rsidR="00353A59">
        <w:t xml:space="preserve">operations </w:t>
      </w:r>
      <w:r>
        <w:t xml:space="preserve">by network configuring </w:t>
      </w:r>
      <w:r w:rsidR="00577A9B">
        <w:t xml:space="preserve">or pre-configuring orthogonal Tx pools to ensure their transmissions are never overlapped. This can be seen as a </w:t>
      </w:r>
      <w:proofErr w:type="gramStart"/>
      <w:r w:rsidR="00577A9B">
        <w:t>long term</w:t>
      </w:r>
      <w:proofErr w:type="gramEnd"/>
      <w:r w:rsidR="00577A9B">
        <w:t xml:space="preserve"> time scale coordination. Alternatively, the network BS performs resource selection and scheduling to the UE for both LTE (mode 3) and NR V2X (mode 1) transmissions. This can be seen as a </w:t>
      </w:r>
      <w:proofErr w:type="gramStart"/>
      <w:r w:rsidR="00577A9B">
        <w:t>short term</w:t>
      </w:r>
      <w:proofErr w:type="gramEnd"/>
      <w:r w:rsidR="00577A9B">
        <w:t xml:space="preserve"> time scale coordination.</w:t>
      </w:r>
    </w:p>
    <w:p w14:paraId="1C4D6DB8" w14:textId="447A9141" w:rsidR="00216862" w:rsidRDefault="00577A9B" w:rsidP="00216862">
      <w:r>
        <w:t xml:space="preserve">For either cases, </w:t>
      </w:r>
      <w:r w:rsidR="00DD3EC9">
        <w:t>TDM between LTE and NR V2X transmissions</w:t>
      </w:r>
      <w:r>
        <w:t xml:space="preserve"> can be supported without any need of inter-RAT coordination within a UE and specification impact.</w:t>
      </w:r>
    </w:p>
    <w:p w14:paraId="02D1D143" w14:textId="0B3FC86B" w:rsidR="00216862" w:rsidRDefault="00216862" w:rsidP="00216862">
      <w:pPr>
        <w:rPr>
          <w:color w:val="000000" w:themeColor="text1"/>
        </w:rPr>
      </w:pPr>
    </w:p>
    <w:p w14:paraId="28F87AC1" w14:textId="57867D42" w:rsidR="00DD3EC9" w:rsidRPr="00DD3EC9" w:rsidRDefault="00DD3EC9" w:rsidP="00216862">
      <w:pPr>
        <w:rPr>
          <w:b/>
          <w:i/>
          <w:color w:val="000000" w:themeColor="text1"/>
        </w:rPr>
      </w:pPr>
      <w:r>
        <w:rPr>
          <w:b/>
          <w:i/>
          <w:color w:val="000000" w:themeColor="text1"/>
        </w:rPr>
        <w:t>Observation</w:t>
      </w:r>
      <w:r w:rsidRPr="00DD3EC9">
        <w:rPr>
          <w:b/>
          <w:i/>
          <w:color w:val="000000" w:themeColor="text1"/>
        </w:rPr>
        <w:t xml:space="preserve"> </w:t>
      </w:r>
      <w:r>
        <w:rPr>
          <w:b/>
          <w:i/>
          <w:color w:val="000000" w:themeColor="text1"/>
        </w:rPr>
        <w:t>4</w:t>
      </w:r>
      <w:r w:rsidRPr="00DD3EC9">
        <w:rPr>
          <w:b/>
          <w:i/>
          <w:color w:val="000000" w:themeColor="text1"/>
        </w:rPr>
        <w:t xml:space="preserve">: For TDM </w:t>
      </w:r>
      <w:r>
        <w:rPr>
          <w:b/>
          <w:i/>
          <w:color w:val="000000" w:themeColor="text1"/>
        </w:rPr>
        <w:t>between LTE and NR V2X transmissions</w:t>
      </w:r>
      <w:r w:rsidRPr="00DD3EC9">
        <w:rPr>
          <w:b/>
          <w:i/>
          <w:color w:val="000000" w:themeColor="text1"/>
        </w:rPr>
        <w:t xml:space="preserve">, </w:t>
      </w:r>
      <w:r>
        <w:rPr>
          <w:b/>
          <w:i/>
          <w:color w:val="000000" w:themeColor="text1"/>
        </w:rPr>
        <w:t>the simplest solutions are resource pool partitioning and network scheduling without any need of any intra-RAT coordination within a UE.</w:t>
      </w:r>
    </w:p>
    <w:p w14:paraId="4A95B910" w14:textId="77777777" w:rsidR="00DD3EC9" w:rsidRDefault="00DD3EC9" w:rsidP="00216862">
      <w:pPr>
        <w:rPr>
          <w:color w:val="000000" w:themeColor="text1"/>
        </w:rPr>
      </w:pPr>
    </w:p>
    <w:p w14:paraId="2F8AC47B" w14:textId="53A192B8" w:rsidR="00216862" w:rsidRPr="00AB4FF8" w:rsidRDefault="00216862" w:rsidP="00216862">
      <w:pPr>
        <w:spacing w:after="120"/>
        <w:rPr>
          <w:b/>
          <w:sz w:val="22"/>
        </w:rPr>
      </w:pPr>
      <w:r w:rsidRPr="00AB4FF8">
        <w:rPr>
          <w:b/>
          <w:sz w:val="22"/>
        </w:rPr>
        <w:t>2.</w:t>
      </w:r>
      <w:r w:rsidR="003E387D">
        <w:rPr>
          <w:b/>
          <w:sz w:val="22"/>
        </w:rPr>
        <w:t>2</w:t>
      </w:r>
      <w:r w:rsidRPr="00AB4FF8">
        <w:rPr>
          <w:b/>
          <w:sz w:val="22"/>
        </w:rPr>
        <w:t xml:space="preserve"> </w:t>
      </w:r>
      <w:r>
        <w:rPr>
          <w:b/>
          <w:sz w:val="22"/>
        </w:rPr>
        <w:t xml:space="preserve">FDM </w:t>
      </w:r>
      <w:r w:rsidR="003E387D">
        <w:rPr>
          <w:b/>
          <w:sz w:val="22"/>
        </w:rPr>
        <w:t>based solutions (</w:t>
      </w:r>
      <w:r>
        <w:rPr>
          <w:b/>
          <w:sz w:val="22"/>
        </w:rPr>
        <w:t>power sharing</w:t>
      </w:r>
      <w:r w:rsidR="003E387D">
        <w:rPr>
          <w:b/>
          <w:sz w:val="22"/>
        </w:rPr>
        <w:t>)</w:t>
      </w:r>
    </w:p>
    <w:p w14:paraId="79A06571" w14:textId="65DB95DC" w:rsidR="00216862" w:rsidRPr="005B52F3" w:rsidRDefault="00ED5635" w:rsidP="00216862">
      <w:pPr>
        <w:spacing w:before="240" w:after="120"/>
        <w:rPr>
          <w:b/>
          <w:i/>
          <w:u w:val="single"/>
        </w:rPr>
      </w:pPr>
      <w:r>
        <w:rPr>
          <w:b/>
          <w:i/>
          <w:u w:val="single"/>
        </w:rPr>
        <w:t>Fixed split ratio</w:t>
      </w:r>
      <w:r w:rsidR="00353A59">
        <w:rPr>
          <w:b/>
          <w:i/>
          <w:u w:val="single"/>
        </w:rPr>
        <w:t xml:space="preserve"> power allocation (no inter-RAT coordination)</w:t>
      </w:r>
    </w:p>
    <w:p w14:paraId="609AD92F" w14:textId="4022F875" w:rsidR="00216862" w:rsidRDefault="00DD3EC9" w:rsidP="00216862">
      <w:pPr>
        <w:rPr>
          <w:color w:val="000000" w:themeColor="text1"/>
        </w:rPr>
      </w:pPr>
      <w:r>
        <w:rPr>
          <w:color w:val="000000" w:themeColor="text1"/>
        </w:rPr>
        <w:t>The simplest mechanism of power sharing</w:t>
      </w:r>
      <w:r w:rsidR="00C52858">
        <w:rPr>
          <w:color w:val="000000" w:themeColor="text1"/>
        </w:rPr>
        <w:t xml:space="preserve"> is to defined or (pre-)configured a fixed split ratio of power (e.g. 50/50, 60/40, 70/30 and etc)</w:t>
      </w:r>
      <w:r w:rsidR="00C52858" w:rsidRPr="00C52858">
        <w:rPr>
          <w:color w:val="000000" w:themeColor="text1"/>
        </w:rPr>
        <w:t xml:space="preserve"> </w:t>
      </w:r>
      <w:r w:rsidR="00C52858">
        <w:rPr>
          <w:color w:val="000000" w:themeColor="text1"/>
        </w:rPr>
        <w:t xml:space="preserve">between LTE and NR V2X transmissions. For V2X transmissions in each RAT, the UE is strictly limited to allocate Tx power that does not exceed the pre-defined or (pre-)configured amount of ratio. For example, 60% of </w:t>
      </w:r>
      <w:proofErr w:type="spellStart"/>
      <w:r w:rsidR="00C52858">
        <w:rPr>
          <w:color w:val="000000" w:themeColor="text1"/>
        </w:rPr>
        <w:t>Pcmax</w:t>
      </w:r>
      <w:proofErr w:type="spellEnd"/>
      <w:r w:rsidR="00C52858">
        <w:rPr>
          <w:color w:val="000000" w:themeColor="text1"/>
        </w:rPr>
        <w:t xml:space="preserve"> for LTE-V2X and 40% of </w:t>
      </w:r>
      <w:proofErr w:type="spellStart"/>
      <w:r w:rsidR="00C52858">
        <w:rPr>
          <w:color w:val="000000" w:themeColor="text1"/>
        </w:rPr>
        <w:t>Pcmax</w:t>
      </w:r>
      <w:proofErr w:type="spellEnd"/>
      <w:r w:rsidR="00C52858">
        <w:rPr>
          <w:color w:val="000000" w:themeColor="text1"/>
        </w:rPr>
        <w:t xml:space="preserve"> for NR-V2X. In this solution, it does not require any inter-RAT coordination or information exchange within a UE.</w:t>
      </w:r>
    </w:p>
    <w:p w14:paraId="575D783B" w14:textId="6542DBCC" w:rsidR="00ED5635" w:rsidRPr="005B52F3" w:rsidRDefault="00353A59" w:rsidP="00ED5635">
      <w:pPr>
        <w:spacing w:before="240" w:after="120"/>
        <w:rPr>
          <w:b/>
          <w:i/>
          <w:u w:val="single"/>
        </w:rPr>
      </w:pPr>
      <w:r>
        <w:rPr>
          <w:b/>
          <w:i/>
          <w:u w:val="single"/>
        </w:rPr>
        <w:t>Reserved power allocation (</w:t>
      </w:r>
      <w:r w:rsidR="00C52858">
        <w:rPr>
          <w:b/>
          <w:i/>
          <w:u w:val="single"/>
        </w:rPr>
        <w:t xml:space="preserve">with / without </w:t>
      </w:r>
      <w:r>
        <w:rPr>
          <w:b/>
          <w:i/>
          <w:u w:val="single"/>
        </w:rPr>
        <w:t>coordination needed)</w:t>
      </w:r>
    </w:p>
    <w:p w14:paraId="37DA5377" w14:textId="23163BE3" w:rsidR="00ED5635" w:rsidRDefault="00160785" w:rsidP="008E50DE">
      <w:pPr>
        <w:spacing w:after="120"/>
      </w:pPr>
      <w:r>
        <w:t xml:space="preserve">A different mechanism of </w:t>
      </w:r>
      <w:r w:rsidR="00233469">
        <w:t xml:space="preserve">sharing UE’s total available power or </w:t>
      </w:r>
      <w:r w:rsidR="00D44A28">
        <w:t xml:space="preserve">the </w:t>
      </w:r>
      <w:r w:rsidR="00233469">
        <w:t>maximum configured output power is to (pre-)configure a minimum Tx power that is reserved for either LTE or NR V2X. This reserved amount of power is to guarantee V2X transmissions in either LTE or NR will be available at all time. In other words, the other RAT will get up to max</w:t>
      </w:r>
      <w:r w:rsidR="00D44A28">
        <w:t>imum</w:t>
      </w:r>
      <w:r w:rsidR="00233469">
        <w:t xml:space="preserve"> of </w:t>
      </w:r>
      <w:r w:rsidR="00D44A28">
        <w:t xml:space="preserve">the </w:t>
      </w:r>
      <w:r w:rsidR="00233469">
        <w:t xml:space="preserve">remaining power. For example, if 60% of </w:t>
      </w:r>
      <w:proofErr w:type="spellStart"/>
      <w:r w:rsidR="00233469">
        <w:t>Pcmax</w:t>
      </w:r>
      <w:proofErr w:type="spellEnd"/>
      <w:r w:rsidR="00233469">
        <w:t xml:space="preserve"> is reserved for LTE V2X transmissions, this means the UE can allocate up to only 40% of </w:t>
      </w:r>
      <w:proofErr w:type="spellStart"/>
      <w:r w:rsidR="00233469">
        <w:t>Pcmax</w:t>
      </w:r>
      <w:proofErr w:type="spellEnd"/>
      <w:r w:rsidR="00233469">
        <w:t xml:space="preserve"> for NR</w:t>
      </w:r>
      <w:r w:rsidR="00D44A28">
        <w:t xml:space="preserve"> V2X</w:t>
      </w:r>
      <w:r w:rsidR="00233469">
        <w:t xml:space="preserve"> transmissions. </w:t>
      </w:r>
      <w:r w:rsidR="008E50DE">
        <w:t>As such, this ensures a certain Tx reliability can be achieved within a target communication range.</w:t>
      </w:r>
    </w:p>
    <w:p w14:paraId="27042E83" w14:textId="0C571091" w:rsidR="008E50DE" w:rsidRDefault="008E50DE" w:rsidP="00ED5635">
      <w:pPr>
        <w:rPr>
          <w:color w:val="000000" w:themeColor="text1"/>
        </w:rPr>
      </w:pPr>
      <w:r>
        <w:rPr>
          <w:color w:val="000000" w:themeColor="text1"/>
        </w:rPr>
        <w:lastRenderedPageBreak/>
        <w:t>If inter-RAT coordination is possible</w:t>
      </w:r>
      <w:r w:rsidR="007A1C98">
        <w:rPr>
          <w:color w:val="000000" w:themeColor="text1"/>
        </w:rPr>
        <w:t xml:space="preserve"> (e.g. Tx timing and power usage information are exchanged between RATs within a UE), dynamic boosting of allocating additional power to a high priority RAT or high priority packets can be performed if there is no overlapping transmissions or unused remaining power on the other RAT.</w:t>
      </w:r>
    </w:p>
    <w:p w14:paraId="4DC0C283" w14:textId="0D7B121E" w:rsidR="00ED5635" w:rsidRPr="005B52F3" w:rsidRDefault="00353A59" w:rsidP="00ED5635">
      <w:pPr>
        <w:spacing w:before="240" w:after="120"/>
        <w:rPr>
          <w:b/>
          <w:i/>
          <w:u w:val="single"/>
        </w:rPr>
      </w:pPr>
      <w:r>
        <w:rPr>
          <w:b/>
          <w:i/>
          <w:u w:val="single"/>
        </w:rPr>
        <w:t xml:space="preserve">Priority-based power allocation (within </w:t>
      </w:r>
      <w:r w:rsidR="00DD3EC9">
        <w:rPr>
          <w:b/>
          <w:i/>
          <w:u w:val="single"/>
        </w:rPr>
        <w:t>NR-V2X</w:t>
      </w:r>
      <w:r>
        <w:rPr>
          <w:b/>
          <w:i/>
          <w:u w:val="single"/>
        </w:rPr>
        <w:t>)</w:t>
      </w:r>
    </w:p>
    <w:p w14:paraId="76F303F6" w14:textId="7816940B" w:rsidR="00ED5635" w:rsidRDefault="008F2A9F" w:rsidP="00ED5635">
      <w:pPr>
        <w:rPr>
          <w:color w:val="000000" w:themeColor="text1"/>
        </w:rPr>
      </w:pPr>
      <w:r>
        <w:rPr>
          <w:color w:val="000000" w:themeColor="text1"/>
        </w:rPr>
        <w:t xml:space="preserve">Lastly, within NR-V2X </w:t>
      </w:r>
      <w:r w:rsidR="001F006C">
        <w:rPr>
          <w:color w:val="000000" w:themeColor="text1"/>
        </w:rPr>
        <w:t xml:space="preserve">transmissions, different Tx power levels can be further allocated according to message priority. This can be used to ensure high priority messages are protected and be given sufficient amount of Tx power. For example, </w:t>
      </w:r>
      <w:r w:rsidR="0031500A">
        <w:rPr>
          <w:color w:val="000000" w:themeColor="text1"/>
        </w:rPr>
        <w:t>50% of power for priority level 6, 60% for level 5, 70% for level 4, 80% for level 3 and etc.</w:t>
      </w:r>
      <w:r w:rsidR="00B81921">
        <w:rPr>
          <w:color w:val="000000" w:themeColor="text1"/>
        </w:rPr>
        <w:t xml:space="preserve"> Furthermore, by defining this minimum amount of Tx power per priority level, this can be used as part of resource selection criteria.</w:t>
      </w:r>
    </w:p>
    <w:p w14:paraId="399D8178" w14:textId="77777777" w:rsidR="00B26E5A" w:rsidRDefault="00B26E5A" w:rsidP="00ED5635">
      <w:pPr>
        <w:rPr>
          <w:color w:val="000000" w:themeColor="text1"/>
        </w:rPr>
      </w:pPr>
    </w:p>
    <w:p w14:paraId="463DE27F" w14:textId="15187A60" w:rsidR="00187D96" w:rsidRDefault="00187D96" w:rsidP="00ED5635">
      <w:pPr>
        <w:rPr>
          <w:b/>
          <w:i/>
          <w:color w:val="000000" w:themeColor="text1"/>
        </w:rPr>
      </w:pPr>
      <w:r w:rsidRPr="00B26E5A">
        <w:rPr>
          <w:b/>
          <w:i/>
          <w:color w:val="000000" w:themeColor="text1"/>
        </w:rPr>
        <w:t>Ob</w:t>
      </w:r>
      <w:r w:rsidR="00B26E5A" w:rsidRPr="00B26E5A">
        <w:rPr>
          <w:b/>
          <w:i/>
          <w:color w:val="000000" w:themeColor="text1"/>
        </w:rPr>
        <w:t>servation 5:</w:t>
      </w:r>
      <w:r w:rsidR="008F2A9F">
        <w:rPr>
          <w:b/>
          <w:i/>
          <w:color w:val="000000" w:themeColor="text1"/>
        </w:rPr>
        <w:t xml:space="preserve"> </w:t>
      </w:r>
      <w:r w:rsidR="00B81921">
        <w:rPr>
          <w:b/>
          <w:i/>
          <w:color w:val="000000" w:themeColor="text1"/>
        </w:rPr>
        <w:t xml:space="preserve">Fixed power split based and reserved </w:t>
      </w:r>
      <w:proofErr w:type="gramStart"/>
      <w:r w:rsidR="00B81921">
        <w:rPr>
          <w:b/>
          <w:i/>
          <w:color w:val="000000" w:themeColor="text1"/>
        </w:rPr>
        <w:t>power based</w:t>
      </w:r>
      <w:proofErr w:type="gramEnd"/>
      <w:r w:rsidR="00B81921">
        <w:rPr>
          <w:b/>
          <w:i/>
          <w:color w:val="000000" w:themeColor="text1"/>
        </w:rPr>
        <w:t xml:space="preserve"> schemes are two possible power allocation methods that can be considered for FDM between LTE and NR V2X transmissions without needing any inter-RAT coordination within a UE.</w:t>
      </w:r>
    </w:p>
    <w:p w14:paraId="671B70AA" w14:textId="22BE2804" w:rsidR="00B81921" w:rsidRDefault="00B81921" w:rsidP="00ED5635">
      <w:pPr>
        <w:rPr>
          <w:b/>
          <w:i/>
          <w:color w:val="000000" w:themeColor="text1"/>
        </w:rPr>
      </w:pPr>
    </w:p>
    <w:p w14:paraId="7411D766" w14:textId="44D55A4D" w:rsidR="00B81921" w:rsidRPr="00B26E5A" w:rsidRDefault="00B81921" w:rsidP="00ED5635">
      <w:pPr>
        <w:rPr>
          <w:b/>
          <w:i/>
          <w:color w:val="000000" w:themeColor="text1"/>
        </w:rPr>
      </w:pPr>
      <w:r>
        <w:rPr>
          <w:b/>
          <w:i/>
          <w:color w:val="000000" w:themeColor="text1"/>
        </w:rPr>
        <w:t xml:space="preserve">Observation 6: If inter-RAT coordination </w:t>
      </w:r>
      <w:r w:rsidR="00BE1BFA">
        <w:rPr>
          <w:b/>
          <w:i/>
          <w:color w:val="000000" w:themeColor="text1"/>
        </w:rPr>
        <w:t xml:space="preserve">of Tx power usage </w:t>
      </w:r>
      <w:r>
        <w:rPr>
          <w:b/>
          <w:i/>
          <w:color w:val="000000" w:themeColor="text1"/>
        </w:rPr>
        <w:t xml:space="preserve">within a UE can be achieved, </w:t>
      </w:r>
      <w:r w:rsidR="00BE1BFA">
        <w:rPr>
          <w:b/>
          <w:i/>
          <w:color w:val="000000" w:themeColor="text1"/>
        </w:rPr>
        <w:t xml:space="preserve">reserved power based and </w:t>
      </w:r>
      <w:proofErr w:type="gramStart"/>
      <w:r w:rsidR="00BE1BFA">
        <w:rPr>
          <w:b/>
          <w:i/>
          <w:color w:val="000000" w:themeColor="text1"/>
        </w:rPr>
        <w:t>priority based</w:t>
      </w:r>
      <w:proofErr w:type="gramEnd"/>
      <w:r w:rsidR="00BE1BFA">
        <w:rPr>
          <w:b/>
          <w:i/>
          <w:color w:val="000000" w:themeColor="text1"/>
        </w:rPr>
        <w:t xml:space="preserve"> schemes can be considered to further enhance utilisation of UE total available power.</w:t>
      </w:r>
    </w:p>
    <w:p w14:paraId="2881BD0A" w14:textId="77777777" w:rsidR="00216862" w:rsidRDefault="00216862" w:rsidP="00BC0557">
      <w:pPr>
        <w:rPr>
          <w:color w:val="000000" w:themeColor="text1"/>
        </w:rPr>
      </w:pPr>
    </w:p>
    <w:p w14:paraId="3A91C9E1" w14:textId="77777777" w:rsidR="00BC0557" w:rsidRPr="00BC0557" w:rsidRDefault="00BC0557" w:rsidP="00BC0557">
      <w:pPr>
        <w:spacing w:after="120"/>
        <w:rPr>
          <w:b/>
          <w:sz w:val="22"/>
        </w:rPr>
      </w:pPr>
      <w:r w:rsidRPr="00BC0557">
        <w:rPr>
          <w:b/>
          <w:sz w:val="22"/>
        </w:rPr>
        <w:t>3. Conclusion</w:t>
      </w:r>
    </w:p>
    <w:p w14:paraId="05FA8798" w14:textId="72316F96" w:rsidR="00BC0557" w:rsidRPr="00485DEA" w:rsidRDefault="00BC0557" w:rsidP="00BC0557">
      <w:pPr>
        <w:rPr>
          <w:iCs/>
          <w:color w:val="000000" w:themeColor="text1"/>
        </w:rPr>
      </w:pPr>
      <w:r w:rsidRPr="00485DEA">
        <w:rPr>
          <w:color w:val="000000" w:themeColor="text1"/>
        </w:rPr>
        <w:t xml:space="preserve">In this contribution, </w:t>
      </w:r>
      <w:r w:rsidR="004E0EB3" w:rsidRPr="00F43AB1">
        <w:t xml:space="preserve">we </w:t>
      </w:r>
      <w:r w:rsidR="004E0EB3" w:rsidRPr="004E0EB3">
        <w:rPr>
          <w:color w:val="000000" w:themeColor="text1"/>
        </w:rPr>
        <w:t>first discuss</w:t>
      </w:r>
      <w:r w:rsidR="004E0EB3">
        <w:rPr>
          <w:color w:val="000000" w:themeColor="text1"/>
        </w:rPr>
        <w:t>ed</w:t>
      </w:r>
      <w:r w:rsidR="004E0EB3" w:rsidRPr="004E0EB3">
        <w:rPr>
          <w:color w:val="000000" w:themeColor="text1"/>
        </w:rPr>
        <w:t xml:space="preserve"> about potential coexistence issues of UE transmitting on one RAT and receiving simultaneously on the other, and when UE is receiving on both RATs together. Then we discuss</w:t>
      </w:r>
      <w:r w:rsidR="004E0EB3">
        <w:rPr>
          <w:color w:val="000000" w:themeColor="text1"/>
        </w:rPr>
        <w:t>ed</w:t>
      </w:r>
      <w:r w:rsidR="004E0EB3" w:rsidRPr="004E0EB3">
        <w:rPr>
          <w:color w:val="000000" w:themeColor="text1"/>
        </w:rPr>
        <w:t xml:space="preserve"> about the most sever coexistence issue when UE is transmitting on both RATs together and consider</w:t>
      </w:r>
      <w:r w:rsidR="004E0EB3">
        <w:rPr>
          <w:color w:val="000000" w:themeColor="text1"/>
        </w:rPr>
        <w:t>ed</w:t>
      </w:r>
      <w:r w:rsidR="004E0EB3" w:rsidRPr="004E0EB3">
        <w:rPr>
          <w:color w:val="000000" w:themeColor="text1"/>
        </w:rPr>
        <w:t xml:space="preserve"> some specific support for FDM and TDM type of solutions.</w:t>
      </w:r>
      <w:r w:rsidRPr="00485DEA">
        <w:rPr>
          <w:color w:val="000000" w:themeColor="text1"/>
        </w:rPr>
        <w:t xml:space="preserve"> </w:t>
      </w:r>
      <w:r w:rsidRPr="00485DEA">
        <w:rPr>
          <w:iCs/>
          <w:color w:val="000000" w:themeColor="text1"/>
        </w:rPr>
        <w:t xml:space="preserve">In summary, we have the following </w:t>
      </w:r>
      <w:r w:rsidR="005E3ADE" w:rsidRPr="00485DEA">
        <w:rPr>
          <w:iCs/>
          <w:color w:val="000000" w:themeColor="text1"/>
        </w:rPr>
        <w:t>observations and conclusion</w:t>
      </w:r>
      <w:r w:rsidRPr="00485DEA">
        <w:rPr>
          <w:iCs/>
          <w:color w:val="000000" w:themeColor="text1"/>
        </w:rPr>
        <w:t>:</w:t>
      </w:r>
    </w:p>
    <w:p w14:paraId="512F0864" w14:textId="1461D612" w:rsidR="005E3ADE" w:rsidRDefault="005E3ADE" w:rsidP="00BC0557">
      <w:pPr>
        <w:rPr>
          <w:iCs/>
          <w:color w:val="FF0000"/>
        </w:rPr>
      </w:pPr>
    </w:p>
    <w:p w14:paraId="5B2659C6" w14:textId="7854273B" w:rsidR="00485DEA" w:rsidRPr="004E0EB3" w:rsidRDefault="00657443" w:rsidP="00485DEA">
      <w:pPr>
        <w:rPr>
          <w:b/>
          <w:i/>
          <w:color w:val="FF0000"/>
        </w:rPr>
      </w:pPr>
      <w:r w:rsidRPr="00171A43">
        <w:rPr>
          <w:b/>
          <w:i/>
          <w:color w:val="000000" w:themeColor="text1"/>
        </w:rPr>
        <w:t>Observation 1: For the coexistence/half-duplex issue of UE transmitting on one carrier and not being able to receive on another carrier, RAN1 should wait for RAN4’s investigation outcome of finding a minimum frequency separation before RAN1 should decide whether further solution(s) is needed.</w:t>
      </w:r>
    </w:p>
    <w:p w14:paraId="694EE854" w14:textId="77777777" w:rsidR="00485DEA" w:rsidRPr="004E0EB3" w:rsidRDefault="00485DEA" w:rsidP="00485DEA">
      <w:pPr>
        <w:rPr>
          <w:b/>
          <w:i/>
          <w:color w:val="FF0000"/>
        </w:rPr>
      </w:pPr>
    </w:p>
    <w:p w14:paraId="1333D1D5" w14:textId="2A9AA66A" w:rsidR="00485DEA" w:rsidRPr="004E0EB3" w:rsidRDefault="005A28DC" w:rsidP="00485DEA">
      <w:pPr>
        <w:rPr>
          <w:b/>
          <w:i/>
          <w:color w:val="FF0000"/>
        </w:rPr>
      </w:pPr>
      <w:r>
        <w:rPr>
          <w:b/>
          <w:i/>
          <w:color w:val="000000" w:themeColor="text1"/>
        </w:rPr>
        <w:t xml:space="preserve">Observation 2: For the Rx/Rx coexistence, RAN1 could consider whether we can always assume </w:t>
      </w:r>
      <w:r w:rsidRPr="00706F36">
        <w:rPr>
          <w:b/>
          <w:i/>
          <w:color w:val="000000" w:themeColor="text1"/>
        </w:rPr>
        <w:t>a certain number of dedicated Rx chains for LTE / NR reception</w:t>
      </w:r>
      <w:r>
        <w:rPr>
          <w:b/>
          <w:i/>
          <w:color w:val="000000" w:themeColor="text1"/>
        </w:rPr>
        <w:t>.</w:t>
      </w:r>
    </w:p>
    <w:p w14:paraId="4605A0C2" w14:textId="77777777" w:rsidR="00485DEA" w:rsidRPr="004E0EB3" w:rsidRDefault="00485DEA" w:rsidP="00485DEA">
      <w:pPr>
        <w:rPr>
          <w:b/>
          <w:i/>
          <w:color w:val="FF0000"/>
        </w:rPr>
      </w:pPr>
    </w:p>
    <w:p w14:paraId="60F51E26" w14:textId="548434CD" w:rsidR="00485DEA" w:rsidRPr="004E0EB3" w:rsidRDefault="005A28DC" w:rsidP="00485DEA">
      <w:pPr>
        <w:rPr>
          <w:b/>
          <w:i/>
          <w:color w:val="FF0000"/>
        </w:rPr>
      </w:pPr>
      <w:r w:rsidRPr="00DD3EC9">
        <w:rPr>
          <w:b/>
          <w:i/>
          <w:color w:val="000000" w:themeColor="text1"/>
        </w:rPr>
        <w:t xml:space="preserve">Observation 3: Slot-level alignment </w:t>
      </w:r>
      <w:r>
        <w:rPr>
          <w:b/>
          <w:i/>
          <w:color w:val="000000" w:themeColor="text1"/>
        </w:rPr>
        <w:t xml:space="preserve">at the NR-slot and LTE-subframe boundaries </w:t>
      </w:r>
      <w:r w:rsidRPr="00DD3EC9">
        <w:rPr>
          <w:b/>
          <w:i/>
          <w:color w:val="000000" w:themeColor="text1"/>
        </w:rPr>
        <w:t>should be at least needed for TDM transmission of LTE</w:t>
      </w:r>
      <w:r>
        <w:rPr>
          <w:b/>
          <w:i/>
          <w:color w:val="000000" w:themeColor="text1"/>
        </w:rPr>
        <w:t>-V2X</w:t>
      </w:r>
      <w:r w:rsidRPr="00DD3EC9">
        <w:rPr>
          <w:b/>
          <w:i/>
          <w:color w:val="000000" w:themeColor="text1"/>
        </w:rPr>
        <w:t xml:space="preserve"> and NR</w:t>
      </w:r>
      <w:r>
        <w:rPr>
          <w:b/>
          <w:i/>
          <w:color w:val="000000" w:themeColor="text1"/>
        </w:rPr>
        <w:t>-V2X</w:t>
      </w:r>
      <w:r w:rsidRPr="00DD3EC9">
        <w:rPr>
          <w:b/>
          <w:i/>
          <w:color w:val="000000" w:themeColor="text1"/>
        </w:rPr>
        <w:t>.</w:t>
      </w:r>
    </w:p>
    <w:p w14:paraId="07D07349" w14:textId="2F265DAA" w:rsidR="00BE1BFA" w:rsidRPr="004E0EB3" w:rsidRDefault="00BE1BFA" w:rsidP="00485DEA">
      <w:pPr>
        <w:rPr>
          <w:b/>
          <w:i/>
          <w:color w:val="FF0000"/>
        </w:rPr>
      </w:pPr>
    </w:p>
    <w:p w14:paraId="6DE3FF4C" w14:textId="6CA73AD3" w:rsidR="00BE1BFA" w:rsidRPr="00C75F3A" w:rsidRDefault="00BE1BFA" w:rsidP="00485DEA">
      <w:pPr>
        <w:rPr>
          <w:b/>
          <w:i/>
          <w:color w:val="000000" w:themeColor="text1"/>
        </w:rPr>
      </w:pPr>
      <w:r w:rsidRPr="00C75F3A">
        <w:rPr>
          <w:b/>
          <w:i/>
          <w:color w:val="000000" w:themeColor="text1"/>
        </w:rPr>
        <w:t>Observation 4: For TDM between LTE and NR V2X transmissions, the simplest solutions are resource pool partitioning and network scheduling without any need of any intra-RAT coordination within a UE.</w:t>
      </w:r>
    </w:p>
    <w:p w14:paraId="6688B32D" w14:textId="254EAF60" w:rsidR="00BE1BFA" w:rsidRPr="00C75F3A" w:rsidRDefault="00BE1BFA" w:rsidP="00485DEA">
      <w:pPr>
        <w:rPr>
          <w:b/>
          <w:i/>
          <w:color w:val="000000" w:themeColor="text1"/>
        </w:rPr>
      </w:pPr>
    </w:p>
    <w:p w14:paraId="7F49B54B" w14:textId="77777777" w:rsidR="00BE1BFA" w:rsidRPr="00C75F3A" w:rsidRDefault="00BE1BFA" w:rsidP="00BE1BFA">
      <w:pPr>
        <w:rPr>
          <w:b/>
          <w:i/>
          <w:color w:val="000000" w:themeColor="text1"/>
        </w:rPr>
      </w:pPr>
      <w:r w:rsidRPr="00C75F3A">
        <w:rPr>
          <w:b/>
          <w:i/>
          <w:color w:val="000000" w:themeColor="text1"/>
        </w:rPr>
        <w:t xml:space="preserve">Observation 5: Fixed power split based and reserved </w:t>
      </w:r>
      <w:proofErr w:type="gramStart"/>
      <w:r w:rsidRPr="00C75F3A">
        <w:rPr>
          <w:b/>
          <w:i/>
          <w:color w:val="000000" w:themeColor="text1"/>
        </w:rPr>
        <w:t>power based</w:t>
      </w:r>
      <w:proofErr w:type="gramEnd"/>
      <w:r w:rsidRPr="00C75F3A">
        <w:rPr>
          <w:b/>
          <w:i/>
          <w:color w:val="000000" w:themeColor="text1"/>
        </w:rPr>
        <w:t xml:space="preserve"> schemes are two possible power allocation methods that can be considered for FDM between LTE and NR V2X transmissions without needing any inter-RAT coordination within a UE.</w:t>
      </w:r>
    </w:p>
    <w:p w14:paraId="49BCF3BC" w14:textId="77777777" w:rsidR="00BE1BFA" w:rsidRPr="00C75F3A" w:rsidRDefault="00BE1BFA" w:rsidP="00BE1BFA">
      <w:pPr>
        <w:rPr>
          <w:b/>
          <w:i/>
          <w:color w:val="000000" w:themeColor="text1"/>
        </w:rPr>
      </w:pPr>
    </w:p>
    <w:p w14:paraId="56AAAA2D" w14:textId="408B15CD" w:rsidR="00BE1BFA" w:rsidRPr="00C75F3A" w:rsidRDefault="00BE1BFA" w:rsidP="00BE1BFA">
      <w:pPr>
        <w:rPr>
          <w:b/>
          <w:i/>
          <w:color w:val="000000" w:themeColor="text1"/>
        </w:rPr>
      </w:pPr>
      <w:r w:rsidRPr="00C75F3A">
        <w:rPr>
          <w:b/>
          <w:i/>
          <w:color w:val="000000" w:themeColor="text1"/>
        </w:rPr>
        <w:t xml:space="preserve">Observation 6: If inter-RAT coordination of Tx power usage within a UE can be achieved, reserved power based and </w:t>
      </w:r>
      <w:proofErr w:type="gramStart"/>
      <w:r w:rsidRPr="00C75F3A">
        <w:rPr>
          <w:b/>
          <w:i/>
          <w:color w:val="000000" w:themeColor="text1"/>
        </w:rPr>
        <w:t>priority based</w:t>
      </w:r>
      <w:proofErr w:type="gramEnd"/>
      <w:r w:rsidRPr="00C75F3A">
        <w:rPr>
          <w:b/>
          <w:i/>
          <w:color w:val="000000" w:themeColor="text1"/>
        </w:rPr>
        <w:t xml:space="preserve"> schemes can be considered to further enhance utilisation of UE total available power.</w:t>
      </w:r>
    </w:p>
    <w:p w14:paraId="32D03F00" w14:textId="77777777" w:rsidR="00BE1BFA" w:rsidRPr="00485DEA" w:rsidRDefault="00BE1BFA" w:rsidP="00BE1BFA">
      <w:pPr>
        <w:rPr>
          <w:b/>
          <w:i/>
          <w:color w:val="000000" w:themeColor="text1"/>
        </w:rPr>
      </w:pPr>
    </w:p>
    <w:p w14:paraId="2453B69F" w14:textId="7730974D" w:rsidR="00BC0557" w:rsidRDefault="00BC0557" w:rsidP="00BC0557"/>
    <w:p w14:paraId="37E830A0" w14:textId="77777777" w:rsidR="00BC0557" w:rsidRPr="00BC0557" w:rsidRDefault="00BC0557" w:rsidP="00BC0557">
      <w:pPr>
        <w:spacing w:after="120"/>
        <w:rPr>
          <w:b/>
          <w:sz w:val="22"/>
        </w:rPr>
      </w:pPr>
      <w:r w:rsidRPr="00BC0557">
        <w:rPr>
          <w:b/>
          <w:sz w:val="22"/>
        </w:rPr>
        <w:t>4. References</w:t>
      </w:r>
    </w:p>
    <w:p w14:paraId="619E2E02" w14:textId="41173B65" w:rsidR="00BC0557" w:rsidRPr="00511BDE" w:rsidRDefault="00BC0557" w:rsidP="00BC0557">
      <w:pPr>
        <w:spacing w:after="60"/>
        <w:rPr>
          <w:color w:val="000000" w:themeColor="text1"/>
        </w:rPr>
      </w:pPr>
      <w:r w:rsidRPr="00511BDE">
        <w:rPr>
          <w:color w:val="000000" w:themeColor="text1"/>
        </w:rPr>
        <w:t>[1] RAN1#9</w:t>
      </w:r>
      <w:r w:rsidR="00A61093">
        <w:rPr>
          <w:color w:val="000000" w:themeColor="text1"/>
        </w:rPr>
        <w:t>5</w:t>
      </w:r>
      <w:r w:rsidRPr="00511BDE">
        <w:rPr>
          <w:color w:val="000000" w:themeColor="text1"/>
        </w:rPr>
        <w:t xml:space="preserve"> Chairman’s notes</w:t>
      </w:r>
      <w:r w:rsidR="00511BDE" w:rsidRPr="00511BDE">
        <w:rPr>
          <w:color w:val="000000" w:themeColor="text1"/>
        </w:rPr>
        <w:t xml:space="preserve"> (final version)</w:t>
      </w:r>
    </w:p>
    <w:sectPr w:rsidR="00BC0557" w:rsidRPr="00511BDE">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93E4C" w14:textId="77777777" w:rsidR="006C3B09" w:rsidRDefault="006C3B09" w:rsidP="00511BDE">
      <w:r>
        <w:separator/>
      </w:r>
    </w:p>
  </w:endnote>
  <w:endnote w:type="continuationSeparator" w:id="0">
    <w:p w14:paraId="0D9C9AF0" w14:textId="77777777" w:rsidR="006C3B09" w:rsidRDefault="006C3B09"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29B96" w14:textId="77777777" w:rsidR="006C3B09" w:rsidRDefault="006C3B09" w:rsidP="00511BDE">
      <w:r>
        <w:separator/>
      </w:r>
    </w:p>
  </w:footnote>
  <w:footnote w:type="continuationSeparator" w:id="0">
    <w:p w14:paraId="1A8A73E5" w14:textId="77777777" w:rsidR="006C3B09" w:rsidRDefault="006C3B09"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10"/>
  </w:num>
  <w:num w:numId="3">
    <w:abstractNumId w:val="9"/>
  </w:num>
  <w:num w:numId="4">
    <w:abstractNumId w:val="6"/>
  </w:num>
  <w:num w:numId="5">
    <w:abstractNumId w:val="2"/>
  </w:num>
  <w:num w:numId="6">
    <w:abstractNumId w:val="6"/>
  </w:num>
  <w:num w:numId="7">
    <w:abstractNumId w:val="6"/>
  </w:num>
  <w:num w:numId="8">
    <w:abstractNumId w:val="6"/>
  </w:num>
  <w:num w:numId="9">
    <w:abstractNumId w:val="6"/>
  </w:num>
  <w:num w:numId="10">
    <w:abstractNumId w:val="0"/>
  </w:num>
  <w:num w:numId="11">
    <w:abstractNumId w:val="7"/>
  </w:num>
  <w:num w:numId="12">
    <w:abstractNumId w:val="8"/>
  </w:num>
  <w:num w:numId="13">
    <w:abstractNumId w:val="1"/>
  </w:num>
  <w:num w:numId="14">
    <w:abstractNumId w:val="5"/>
  </w:num>
  <w:num w:numId="15">
    <w:abstractNumId w:val="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36438"/>
    <w:rsid w:val="000416C0"/>
    <w:rsid w:val="0007695E"/>
    <w:rsid w:val="00096409"/>
    <w:rsid w:val="000A5226"/>
    <w:rsid w:val="00160785"/>
    <w:rsid w:val="00164673"/>
    <w:rsid w:val="001652D6"/>
    <w:rsid w:val="00167A4E"/>
    <w:rsid w:val="00171A43"/>
    <w:rsid w:val="001728C1"/>
    <w:rsid w:val="00185DDA"/>
    <w:rsid w:val="001866C7"/>
    <w:rsid w:val="00187D96"/>
    <w:rsid w:val="001C4A2A"/>
    <w:rsid w:val="001D6BAF"/>
    <w:rsid w:val="001F006C"/>
    <w:rsid w:val="00204464"/>
    <w:rsid w:val="00216862"/>
    <w:rsid w:val="002241E8"/>
    <w:rsid w:val="002256E9"/>
    <w:rsid w:val="00233380"/>
    <w:rsid w:val="00233469"/>
    <w:rsid w:val="00241C45"/>
    <w:rsid w:val="00246872"/>
    <w:rsid w:val="00274E92"/>
    <w:rsid w:val="002A09BD"/>
    <w:rsid w:val="002A6143"/>
    <w:rsid w:val="002B5CFD"/>
    <w:rsid w:val="00311E4D"/>
    <w:rsid w:val="0031286C"/>
    <w:rsid w:val="0031500A"/>
    <w:rsid w:val="00351C4E"/>
    <w:rsid w:val="00353A59"/>
    <w:rsid w:val="00354CC5"/>
    <w:rsid w:val="00390468"/>
    <w:rsid w:val="003A5F5F"/>
    <w:rsid w:val="003B0B70"/>
    <w:rsid w:val="003E387D"/>
    <w:rsid w:val="003E6210"/>
    <w:rsid w:val="0045688F"/>
    <w:rsid w:val="00472914"/>
    <w:rsid w:val="00482D43"/>
    <w:rsid w:val="00485DEA"/>
    <w:rsid w:val="004919B6"/>
    <w:rsid w:val="004B48FA"/>
    <w:rsid w:val="004D682F"/>
    <w:rsid w:val="004E0EB3"/>
    <w:rsid w:val="004E6076"/>
    <w:rsid w:val="00500313"/>
    <w:rsid w:val="00511BDE"/>
    <w:rsid w:val="00577A9B"/>
    <w:rsid w:val="00594422"/>
    <w:rsid w:val="005A28DC"/>
    <w:rsid w:val="005C61CF"/>
    <w:rsid w:val="005E3141"/>
    <w:rsid w:val="005E3ADE"/>
    <w:rsid w:val="006251B5"/>
    <w:rsid w:val="00657443"/>
    <w:rsid w:val="0067597E"/>
    <w:rsid w:val="006A4FB5"/>
    <w:rsid w:val="006B164D"/>
    <w:rsid w:val="006C3B09"/>
    <w:rsid w:val="007018F8"/>
    <w:rsid w:val="007069E1"/>
    <w:rsid w:val="00706F36"/>
    <w:rsid w:val="00737AC9"/>
    <w:rsid w:val="0075318B"/>
    <w:rsid w:val="00756A23"/>
    <w:rsid w:val="00784E37"/>
    <w:rsid w:val="007A1C98"/>
    <w:rsid w:val="007A787E"/>
    <w:rsid w:val="007B1CB6"/>
    <w:rsid w:val="007D0CDF"/>
    <w:rsid w:val="00810C3F"/>
    <w:rsid w:val="0081533E"/>
    <w:rsid w:val="00835A0D"/>
    <w:rsid w:val="008466AB"/>
    <w:rsid w:val="00850514"/>
    <w:rsid w:val="00855FFD"/>
    <w:rsid w:val="0086720B"/>
    <w:rsid w:val="008762D9"/>
    <w:rsid w:val="008801CA"/>
    <w:rsid w:val="008E50DE"/>
    <w:rsid w:val="008F2A9F"/>
    <w:rsid w:val="008F7418"/>
    <w:rsid w:val="00923CFE"/>
    <w:rsid w:val="009C3461"/>
    <w:rsid w:val="009C79F1"/>
    <w:rsid w:val="009D7E42"/>
    <w:rsid w:val="00A00856"/>
    <w:rsid w:val="00A45305"/>
    <w:rsid w:val="00A559E1"/>
    <w:rsid w:val="00A61093"/>
    <w:rsid w:val="00A70327"/>
    <w:rsid w:val="00AC5E18"/>
    <w:rsid w:val="00B04309"/>
    <w:rsid w:val="00B04603"/>
    <w:rsid w:val="00B11B40"/>
    <w:rsid w:val="00B26E5A"/>
    <w:rsid w:val="00B44D18"/>
    <w:rsid w:val="00B81921"/>
    <w:rsid w:val="00BA1AAB"/>
    <w:rsid w:val="00BA2891"/>
    <w:rsid w:val="00BB1780"/>
    <w:rsid w:val="00BB1DD1"/>
    <w:rsid w:val="00BC0557"/>
    <w:rsid w:val="00BE0A7F"/>
    <w:rsid w:val="00BE1BFA"/>
    <w:rsid w:val="00BE4F07"/>
    <w:rsid w:val="00C03599"/>
    <w:rsid w:val="00C144FC"/>
    <w:rsid w:val="00C352D1"/>
    <w:rsid w:val="00C426A0"/>
    <w:rsid w:val="00C50B1E"/>
    <w:rsid w:val="00C52858"/>
    <w:rsid w:val="00C5327F"/>
    <w:rsid w:val="00C75F3A"/>
    <w:rsid w:val="00C90A3D"/>
    <w:rsid w:val="00CD1C22"/>
    <w:rsid w:val="00CF02F1"/>
    <w:rsid w:val="00D12DF2"/>
    <w:rsid w:val="00D44A28"/>
    <w:rsid w:val="00D715A7"/>
    <w:rsid w:val="00D751B7"/>
    <w:rsid w:val="00DC1F83"/>
    <w:rsid w:val="00DD3EC9"/>
    <w:rsid w:val="00E23402"/>
    <w:rsid w:val="00E8572A"/>
    <w:rsid w:val="00E926B4"/>
    <w:rsid w:val="00E96E5D"/>
    <w:rsid w:val="00ED5635"/>
    <w:rsid w:val="00EE4760"/>
    <w:rsid w:val="00F43AB1"/>
    <w:rsid w:val="00F5580C"/>
    <w:rsid w:val="00F66000"/>
    <w:rsid w:val="00F71CBF"/>
    <w:rsid w:val="00F848C2"/>
    <w:rsid w:val="00FB2DB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1000</TotalTime>
  <Pages>3</Pages>
  <Words>1420</Words>
  <Characters>8096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Discussion on coexistence in NR-V2X</vt:lpstr>
    </vt:vector>
  </TitlesOfParts>
  <Company>Guangdong OPPO Mobile Telecom</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coexistence in NR-V2X</dc:title>
  <dc:subject>NR-V2X Coexistence</dc:subject>
  <dc:creator>Kevin.Lin@oppo.com</dc:creator>
  <cp:keywords/>
  <dc:description>Final for submission</dc:description>
  <cp:lastModifiedBy>Kevin Lin</cp:lastModifiedBy>
  <cp:revision>35</cp:revision>
  <dcterms:created xsi:type="dcterms:W3CDTF">2018-10-25T08:00:00Z</dcterms:created>
  <dcterms:modified xsi:type="dcterms:W3CDTF">2019-01-11T22:03:00Z</dcterms:modified>
</cp:coreProperties>
</file>